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BF2BA">
      <w:pPr>
        <w:spacing w:before="104" w:line="530" w:lineRule="exact"/>
        <w:ind w:left="1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 w:cs="黑体"/>
          <w:spacing w:val="15"/>
          <w:sz w:val="36"/>
          <w:szCs w:val="36"/>
        </w:rPr>
        <w:t>附件3</w:t>
      </w:r>
    </w:p>
    <w:p w14:paraId="6028B9BD">
      <w:pPr>
        <w:pStyle w:val="3"/>
        <w:widowControl/>
        <w:spacing w:line="53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湖北省第九届大学生艺术展演活动</w:t>
      </w:r>
    </w:p>
    <w:p w14:paraId="514B0A33">
      <w:pPr>
        <w:pStyle w:val="3"/>
        <w:widowControl/>
        <w:spacing w:line="53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9" w:name="_GoBack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高校美育改革创新优秀成果的相关要求</w:t>
      </w:r>
    </w:p>
    <w:bookmarkEnd w:id="9"/>
    <w:p w14:paraId="70FCDDE7">
      <w:pPr>
        <w:spacing w:line="530" w:lineRule="exact"/>
        <w:jc w:val="center"/>
        <w:rPr>
          <w:rFonts w:ascii="楷体" w:hAnsi="楷体" w:eastAsia="楷体"/>
          <w:sz w:val="32"/>
          <w:szCs w:val="32"/>
        </w:rPr>
      </w:pPr>
    </w:p>
    <w:p w14:paraId="343C04D5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高校美育改革创新优秀成果包括学术论文和教学改革案例2个类别。</w:t>
      </w:r>
    </w:p>
    <w:p w14:paraId="248D0600">
      <w:pPr>
        <w:spacing w:line="530" w:lineRule="exact"/>
        <w:ind w:left="764"/>
        <w:outlineLvl w:val="1"/>
        <w:rPr>
          <w:rFonts w:ascii="黑体" w:hAnsi="黑体" w:eastAsia="黑体"/>
          <w:sz w:val="32"/>
          <w:szCs w:val="32"/>
          <w:lang w:eastAsia="en-US"/>
        </w:rPr>
      </w:pPr>
      <w:r>
        <w:rPr>
          <w:rFonts w:ascii="黑体" w:hAnsi="黑体" w:eastAsia="黑体"/>
          <w:sz w:val="32"/>
          <w:szCs w:val="32"/>
          <w:lang w:eastAsia="en-US"/>
        </w:rPr>
        <w:t>一、选题范围</w:t>
      </w:r>
    </w:p>
    <w:p w14:paraId="2608537A">
      <w:pPr>
        <w:spacing w:line="530" w:lineRule="exact"/>
        <w:ind w:left="764"/>
        <w:outlineLvl w:val="1"/>
        <w:rPr>
          <w:rFonts w:ascii="楷体" w:hAnsi="楷体" w:eastAsia="楷体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(一)学术论文</w:t>
      </w:r>
    </w:p>
    <w:p w14:paraId="387701EB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 xml:space="preserve">1. </w:t>
      </w:r>
      <w:bookmarkStart w:id="0" w:name="OLE_LINK122"/>
      <w:bookmarkStart w:id="1" w:name="OLE_LINK123"/>
      <w:r>
        <w:rPr>
          <w:rFonts w:ascii="Times New Roman" w:hAnsi="Times New Roman" w:cs="Times New Roman"/>
          <w:sz w:val="32"/>
          <w:szCs w:val="32"/>
          <w:lang w:eastAsia="zh-CN"/>
        </w:rPr>
        <w:t>学校美育的内涵与价值功能</w:t>
      </w:r>
      <w:bookmarkEnd w:id="0"/>
      <w:bookmarkEnd w:id="1"/>
    </w:p>
    <w:p w14:paraId="04395C09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2. 中华美育精神的内在意蕴与时代价值</w:t>
      </w:r>
    </w:p>
    <w:p w14:paraId="6C80CE46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3. 学校美育浸润行动的实践路径</w:t>
      </w:r>
    </w:p>
    <w:p w14:paraId="6A28021E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4. 高校教师美育素养提升路径</w:t>
      </w:r>
    </w:p>
    <w:p w14:paraId="66EE15F1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5. 高校学科美育与创新型人才培养</w:t>
      </w:r>
    </w:p>
    <w:p w14:paraId="465127DE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 xml:space="preserve">6. </w:t>
      </w:r>
      <w:r>
        <w:rPr>
          <w:rFonts w:cs="Times New Roman"/>
          <w:sz w:val="32"/>
          <w:szCs w:val="32"/>
          <w:lang w:eastAsia="zh-CN"/>
        </w:rPr>
        <w:t>“五育并举”视域</w:t>
      </w:r>
      <w:r>
        <w:rPr>
          <w:rFonts w:ascii="Times New Roman" w:hAnsi="Times New Roman" w:cs="Times New Roman"/>
          <w:sz w:val="32"/>
          <w:szCs w:val="32"/>
          <w:lang w:eastAsia="zh-CN"/>
        </w:rPr>
        <w:t>下高校美育育人模式创新</w:t>
      </w:r>
    </w:p>
    <w:p w14:paraId="2E18A06B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7. 新时代高校美育评价改革</w:t>
      </w:r>
    </w:p>
    <w:p w14:paraId="68FCB5DC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8. 中华优秀传统文化融入高校美育的策略与路径</w:t>
      </w:r>
    </w:p>
    <w:p w14:paraId="50BC7FBB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9. 高校数字美育新生态构建</w:t>
      </w:r>
    </w:p>
    <w:p w14:paraId="44FEB1FE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10. 艺术师范教育改革发展</w:t>
      </w:r>
    </w:p>
    <w:p w14:paraId="1B6E32D4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11. 高校艺术教育中外比较</w:t>
      </w:r>
    </w:p>
    <w:p w14:paraId="56B46047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12. 高校美育赋能经济社会发展实施路径</w:t>
      </w:r>
    </w:p>
    <w:p w14:paraId="0EB28DD6">
      <w:pPr>
        <w:spacing w:line="530" w:lineRule="exact"/>
        <w:ind w:left="764"/>
        <w:outlineLvl w:val="1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(二)教学改革案例</w:t>
      </w:r>
    </w:p>
    <w:p w14:paraId="1026D2CA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 xml:space="preserve">1. </w:t>
      </w:r>
      <w:bookmarkStart w:id="2" w:name="OLE_LINK125"/>
      <w:bookmarkStart w:id="3" w:name="OLE_LINK124"/>
      <w:r>
        <w:rPr>
          <w:rFonts w:hint="eastAsia" w:ascii="Times New Roman" w:hAnsi="Times New Roman" w:cs="Times New Roman"/>
          <w:sz w:val="32"/>
          <w:szCs w:val="32"/>
          <w:lang w:eastAsia="zh-CN"/>
        </w:rPr>
        <w:t>高校公共艺术教育教学体系建设</w:t>
      </w:r>
      <w:bookmarkEnd w:id="2"/>
      <w:bookmarkEnd w:id="3"/>
    </w:p>
    <w:p w14:paraId="0E7A111F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2. 高校美育课程与教材建设</w:t>
      </w:r>
    </w:p>
    <w:p w14:paraId="2FCD8A1F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3. 高校学生艺术社团及实践工作坊建设</w:t>
      </w:r>
    </w:p>
    <w:p w14:paraId="659DD623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4. 高校跨学科美育实践</w:t>
      </w:r>
    </w:p>
    <w:p w14:paraId="14D0A09E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5. 高校美育专门机构和教师队伍建设</w:t>
      </w:r>
    </w:p>
    <w:p w14:paraId="42D9967F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6. 高校美育评价制度建设</w:t>
      </w:r>
    </w:p>
    <w:p w14:paraId="13F8B794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7. 美育名师工作室建设</w:t>
      </w:r>
    </w:p>
    <w:p w14:paraId="5E63372C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8. 中华优秀传统文化艺术传承基地建设</w:t>
      </w:r>
    </w:p>
    <w:p w14:paraId="129524B4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9. 艺术展演育人实践</w:t>
      </w:r>
    </w:p>
    <w:p w14:paraId="1E11519A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10. 艺术师范教育基本功展示引领人才培养</w:t>
      </w:r>
    </w:p>
    <w:p w14:paraId="6277577B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11. 高校助力乡村学校美育提质发展</w:t>
      </w:r>
    </w:p>
    <w:p w14:paraId="40EB636C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12. 高校美育资源与社会艺术资源共建共享</w:t>
      </w:r>
    </w:p>
    <w:p w14:paraId="3014804D">
      <w:pPr>
        <w:spacing w:line="530" w:lineRule="exact"/>
        <w:ind w:left="764"/>
        <w:outlineLvl w:val="1"/>
        <w:rPr>
          <w:rFonts w:ascii="仿宋" w:hAnsi="仿宋" w:eastAsia="仿宋"/>
          <w:sz w:val="32"/>
          <w:szCs w:val="32"/>
          <w:lang w:eastAsia="en-US"/>
        </w:rPr>
      </w:pPr>
      <w:r>
        <w:rPr>
          <w:rFonts w:ascii="黑体" w:hAnsi="黑体" w:eastAsia="黑体"/>
          <w:sz w:val="32"/>
          <w:szCs w:val="32"/>
          <w:lang w:eastAsia="en-US"/>
        </w:rPr>
        <w:t>二、有关要求</w:t>
      </w:r>
    </w:p>
    <w:p w14:paraId="1AFA0E51">
      <w:pPr>
        <w:spacing w:line="530" w:lineRule="exact"/>
        <w:ind w:left="764"/>
        <w:outlineLvl w:val="1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(一)人数要求</w:t>
      </w:r>
    </w:p>
    <w:p w14:paraId="2A891AFC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bookmarkStart w:id="4" w:name="OLE_LINK111"/>
      <w:bookmarkStart w:id="5" w:name="OLE_LINK110"/>
      <w:r>
        <w:rPr>
          <w:rFonts w:ascii="Times New Roman" w:hAnsi="Times New Roman" w:cs="Times New Roman"/>
          <w:sz w:val="32"/>
          <w:szCs w:val="32"/>
          <w:lang w:eastAsia="zh-CN"/>
        </w:rPr>
        <w:t>学术论文作者不超过2人；教学改革案例以单位名义提交，完成人不超过3人。</w:t>
      </w:r>
    </w:p>
    <w:bookmarkEnd w:id="4"/>
    <w:bookmarkEnd w:id="5"/>
    <w:p w14:paraId="4BD3D54E">
      <w:pPr>
        <w:spacing w:line="530" w:lineRule="exact"/>
        <w:ind w:left="764"/>
        <w:outlineLvl w:val="1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(二)材料要求</w:t>
      </w:r>
    </w:p>
    <w:p w14:paraId="6D482D64">
      <w:pPr>
        <w:pStyle w:val="2"/>
        <w:spacing w:line="530" w:lineRule="exact"/>
        <w:ind w:right="99" w:firstLine="744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1. 学术论文。应为未公开发表的</w:t>
      </w:r>
      <w:bookmarkStart w:id="6" w:name="OLE_LINK113"/>
      <w:r>
        <w:rPr>
          <w:rFonts w:hint="eastAsia" w:ascii="Times New Roman" w:hAnsi="Times New Roman" w:cs="Times New Roman"/>
          <w:sz w:val="32"/>
          <w:szCs w:val="32"/>
          <w:lang w:eastAsia="zh-CN"/>
        </w:rPr>
        <w:t>论文</w:t>
      </w:r>
      <w:bookmarkEnd w:id="6"/>
      <w:r>
        <w:rPr>
          <w:rFonts w:hint="eastAsia" w:ascii="Times New Roman" w:hAnsi="Times New Roman" w:cs="Times New Roman"/>
          <w:sz w:val="32"/>
          <w:szCs w:val="32"/>
          <w:lang w:eastAsia="zh-CN"/>
        </w:rPr>
        <w:t>，须含摘要（300字左右）、3</w:t>
      </w:r>
      <w:r>
        <w:rPr>
          <w:rFonts w:hint="eastAsia" w:cs="Times New Roman"/>
          <w:sz w:val="32"/>
          <w:szCs w:val="32"/>
          <w:lang w:eastAsia="zh-CN"/>
        </w:rPr>
        <w:t>-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5个关键词、正文</w:t>
      </w:r>
      <w:r>
        <w:rPr>
          <w:rFonts w:hint="eastAsia" w:cs="Times New Roman"/>
          <w:sz w:val="32"/>
          <w:szCs w:val="32"/>
          <w:lang w:eastAsia="zh-CN"/>
        </w:rPr>
        <w:t>(不少于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5000字</w:t>
      </w:r>
      <w:r>
        <w:rPr>
          <w:rFonts w:hint="eastAsia" w:cs="Times New Roman"/>
          <w:sz w:val="32"/>
          <w:szCs w:val="32"/>
          <w:lang w:eastAsia="zh-CN"/>
        </w:rPr>
        <w:t>)及参考文献，论据充分，论证清晰、有条理，有实践指导意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义。A4排版，页边距上3.8cm、下3.2cm、左3.5cm、右2.5cm；主标题方正小标宋简体二号居中；副标题宋体小二</w:t>
      </w:r>
      <w:r>
        <w:rPr>
          <w:rFonts w:hint="eastAsia" w:cs="Times New Roman"/>
          <w:sz w:val="32"/>
          <w:szCs w:val="32"/>
          <w:lang w:eastAsia="zh-CN"/>
        </w:rPr>
        <w:t>号(加破折号)；正文一级标题黑体三号(序号“一、”)，二级标题楷体三号(序号“(一)”)，三级标题仿宋三号加粗(序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号</w:t>
      </w:r>
      <w:r>
        <w:rPr>
          <w:rFonts w:hint="eastAsia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1.</w:t>
      </w:r>
      <w:r>
        <w:rPr>
          <w:rFonts w:hint="eastAsia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，数字为TimesNewRoman</w:t>
      </w:r>
      <w:r>
        <w:rPr>
          <w:rFonts w:hint="eastAsia" w:cs="Times New Roman"/>
          <w:sz w:val="32"/>
          <w:szCs w:val="32"/>
          <w:lang w:eastAsia="zh-CN"/>
        </w:rPr>
        <w:t>)；正文仿宋三号，首行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缩进2字符，行距固定值30磅。</w:t>
      </w:r>
    </w:p>
    <w:p w14:paraId="0D27560C">
      <w:pPr>
        <w:pStyle w:val="2"/>
        <w:spacing w:line="530" w:lineRule="exact"/>
        <w:ind w:right="99" w:firstLine="744"/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2. 教学改革案例。</w:t>
      </w:r>
      <w:bookmarkStart w:id="7" w:name="OLE_LINK115"/>
      <w:r>
        <w:rPr>
          <w:rFonts w:hint="eastAsia" w:ascii="Times New Roman" w:hAnsi="Times New Roman" w:cs="Times New Roman"/>
          <w:sz w:val="32"/>
          <w:szCs w:val="32"/>
          <w:lang w:eastAsia="zh-CN"/>
        </w:rPr>
        <w:t>应为某地区或某高校美育改革经验总结，</w:t>
      </w:r>
      <w:bookmarkStart w:id="8" w:name="OLE_LINK114"/>
      <w:r>
        <w:rPr>
          <w:rFonts w:hint="eastAsia" w:ascii="Times New Roman" w:hAnsi="Times New Roman" w:cs="Times New Roman"/>
          <w:sz w:val="32"/>
          <w:szCs w:val="32"/>
          <w:lang w:eastAsia="zh-CN"/>
        </w:rPr>
        <w:t>提交“文字+视频+图片”组合材料。</w:t>
      </w:r>
      <w:bookmarkEnd w:id="7"/>
      <w:bookmarkEnd w:id="8"/>
      <w:r>
        <w:rPr>
          <w:rFonts w:hint="eastAsia" w:ascii="Times New Roman" w:hAnsi="Times New Roman" w:cs="Times New Roman"/>
          <w:sz w:val="32"/>
          <w:szCs w:val="32"/>
          <w:lang w:eastAsia="zh-CN"/>
        </w:rPr>
        <w:t>文字材料须包含背景、做法、成效、建议等要素，主题突出、层次分明、特色鲜明，具有创新性、实效性、可推广性，字数5000字以内，排版格式参照学术论文相关要求。可选择性提交1个视频和5张以内图片，内容要紧扣文字材料，充分展示美育改革实践成果。视频时长5分钟以内，格式为MP4或MOV，大小不超过1G。图片选取代表性场景、作品、成效，JPG格式，大小不低于10M，分辨率为300dpi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D0F5C"/>
    <w:rsid w:val="030D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3"/>
      <w:szCs w:val="33"/>
      <w:lang w:eastAsia="en-US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2026-06-01T00:40:00Z</dcterms:created>
  <dc:creator>华师数院团委学生会</dc:creator>
  <cp:lastModifiedBy>华师数院团委学生会</cp:lastModifiedBy>
  <dcterms:modified xsi:type="dcterms:W3CDTF">2026-06-01T00:42:48Z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96FCDA91E64F493EBAC31FD31BE2CEAB_11</vt:lpwstr>
  </property>
  <property fmtid="{D5CDD505-2E9C-101B-9397-08002B2CF9AE}" pid="4" name="KSOTemplateDocerSaveRecord">
    <vt:lpwstr>eyJoZGlkIjoiYjkyZmNhZmMwYTRkMzdjNDc0ZDBiODA4ZTNmNjg2YzYiLCJ1c2VySWQiOiI2MzE0ODc2ODcifQ==</vt:lpwstr>
  </property>
</Properties>
</file>