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B0378">
      <w:pPr>
        <w:spacing w:before="164" w:line="604" w:lineRule="exact"/>
        <w:jc w:val="center"/>
        <w:rPr>
          <w:rFonts w:hint="default" w:ascii="宋体" w:hAnsi="宋体" w:eastAsia="宋体" w:cs="宋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pacing w:val="3"/>
          <w:position w:val="3"/>
          <w:sz w:val="44"/>
          <w:szCs w:val="44"/>
          <w:lang w:val="en-US" w:eastAsia="zh-CN"/>
        </w:rPr>
        <w:t>湖北经济学院法商学院数字</w:t>
      </w:r>
      <w:r>
        <w:rPr>
          <w:rFonts w:hint="eastAsia" w:ascii="黑体" w:hAnsi="黑体" w:eastAsia="黑体" w:cs="黑体"/>
          <w:b w:val="0"/>
          <w:bCs w:val="0"/>
          <w:spacing w:val="3"/>
          <w:position w:val="3"/>
          <w:sz w:val="44"/>
          <w:szCs w:val="44"/>
        </w:rPr>
        <w:t>课程</w:t>
      </w:r>
      <w:r>
        <w:rPr>
          <w:rFonts w:hint="eastAsia" w:ascii="黑体" w:hAnsi="黑体" w:eastAsia="黑体" w:cs="黑体"/>
          <w:b w:val="0"/>
          <w:bCs w:val="0"/>
          <w:spacing w:val="3"/>
          <w:position w:val="3"/>
          <w:sz w:val="44"/>
          <w:szCs w:val="44"/>
          <w:lang w:val="en-US" w:eastAsia="zh-CN"/>
        </w:rPr>
        <w:t>验收申请书</w:t>
      </w:r>
    </w:p>
    <w:p w14:paraId="3CC58CF3">
      <w:pPr>
        <w:spacing w:line="353" w:lineRule="auto"/>
        <w:rPr>
          <w:rFonts w:ascii="Arial"/>
          <w:sz w:val="21"/>
        </w:rPr>
      </w:pPr>
    </w:p>
    <w:p w14:paraId="2BD124E2">
      <w:pPr>
        <w:spacing w:before="101" w:line="226" w:lineRule="auto"/>
        <w:ind w:left="41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一、课程基本信息</w:t>
      </w:r>
    </w:p>
    <w:p w14:paraId="1D6433F1">
      <w:pPr>
        <w:spacing w:line="90" w:lineRule="auto"/>
        <w:rPr>
          <w:rFonts w:ascii="Arial"/>
          <w:sz w:val="2"/>
        </w:rPr>
      </w:pPr>
    </w:p>
    <w:tbl>
      <w:tblPr>
        <w:tblStyle w:val="6"/>
        <w:tblW w:w="96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8"/>
        <w:gridCol w:w="3598"/>
        <w:gridCol w:w="1379"/>
        <w:gridCol w:w="3053"/>
      </w:tblGrid>
      <w:tr w14:paraId="6112E1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atLeast"/>
        </w:trPr>
        <w:tc>
          <w:tcPr>
            <w:tcW w:w="1608" w:type="dxa"/>
            <w:vAlign w:val="top"/>
          </w:tcPr>
          <w:p w14:paraId="4690F635">
            <w:pPr>
              <w:spacing w:before="256" w:line="222" w:lineRule="auto"/>
              <w:ind w:left="368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2"/>
                <w:sz w:val="22"/>
                <w:szCs w:val="22"/>
              </w:rPr>
              <w:t>课程名称</w:t>
            </w:r>
          </w:p>
        </w:tc>
        <w:tc>
          <w:tcPr>
            <w:tcW w:w="3598" w:type="dxa"/>
            <w:vAlign w:val="top"/>
          </w:tcPr>
          <w:p w14:paraId="253A7CB0">
            <w:pPr>
              <w:pStyle w:val="7"/>
            </w:pPr>
          </w:p>
        </w:tc>
        <w:tc>
          <w:tcPr>
            <w:tcW w:w="1379" w:type="dxa"/>
            <w:vAlign w:val="top"/>
          </w:tcPr>
          <w:p w14:paraId="56BB8FEB">
            <w:pPr>
              <w:spacing w:before="256" w:line="222" w:lineRule="auto"/>
              <w:ind w:left="368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负责人</w:t>
            </w:r>
          </w:p>
        </w:tc>
        <w:tc>
          <w:tcPr>
            <w:tcW w:w="3053" w:type="dxa"/>
            <w:vAlign w:val="top"/>
          </w:tcPr>
          <w:p w14:paraId="3B6C366A">
            <w:pPr>
              <w:pStyle w:val="7"/>
            </w:pPr>
          </w:p>
        </w:tc>
      </w:tr>
      <w:tr w14:paraId="01DD799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608" w:type="dxa"/>
            <w:vAlign w:val="top"/>
          </w:tcPr>
          <w:p w14:paraId="71B3658A">
            <w:pPr>
              <w:spacing w:before="254" w:line="222" w:lineRule="auto"/>
              <w:ind w:left="372"/>
              <w:rPr>
                <w:rFonts w:hint="eastAsia" w:ascii="黑体" w:hAnsi="黑体" w:eastAsia="黑体" w:cs="黑体"/>
                <w:sz w:val="22"/>
                <w:szCs w:val="22"/>
                <w:lang w:eastAsia="zh-CN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所在</w:t>
            </w:r>
            <w:r>
              <w:rPr>
                <w:rFonts w:hint="eastAsia" w:ascii="黑体" w:hAnsi="黑体" w:eastAsia="黑体" w:cs="黑体"/>
                <w:spacing w:val="-3"/>
                <w:sz w:val="22"/>
                <w:szCs w:val="22"/>
                <w:lang w:val="en-US" w:eastAsia="zh-CN"/>
              </w:rPr>
              <w:t>系部</w:t>
            </w:r>
          </w:p>
        </w:tc>
        <w:tc>
          <w:tcPr>
            <w:tcW w:w="3598" w:type="dxa"/>
            <w:vAlign w:val="top"/>
          </w:tcPr>
          <w:p w14:paraId="38F6042D">
            <w:pPr>
              <w:pStyle w:val="7"/>
            </w:pPr>
          </w:p>
        </w:tc>
        <w:tc>
          <w:tcPr>
            <w:tcW w:w="1379" w:type="dxa"/>
            <w:vAlign w:val="top"/>
          </w:tcPr>
          <w:p w14:paraId="30AF9D76">
            <w:pPr>
              <w:spacing w:before="254" w:line="224" w:lineRule="auto"/>
              <w:ind w:left="371"/>
              <w:rPr>
                <w:rFonts w:hint="default" w:ascii="黑体" w:hAnsi="黑体" w:eastAsia="黑体" w:cs="黑体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pacing w:val="-4"/>
                <w:sz w:val="22"/>
                <w:szCs w:val="22"/>
                <w:lang w:val="en-US" w:eastAsia="zh-CN"/>
              </w:rPr>
              <w:t>团队成员</w:t>
            </w:r>
          </w:p>
        </w:tc>
        <w:tc>
          <w:tcPr>
            <w:tcW w:w="3053" w:type="dxa"/>
            <w:vAlign w:val="top"/>
          </w:tcPr>
          <w:p w14:paraId="19C8A3C3">
            <w:pPr>
              <w:pStyle w:val="7"/>
            </w:pPr>
          </w:p>
        </w:tc>
      </w:tr>
      <w:tr w14:paraId="6B1C056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4" w:hRule="atLeast"/>
        </w:trPr>
        <w:tc>
          <w:tcPr>
            <w:tcW w:w="1608" w:type="dxa"/>
            <w:vAlign w:val="center"/>
          </w:tcPr>
          <w:p w14:paraId="763AA29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ascii="黑体" w:hAnsi="黑体" w:eastAsia="黑体" w:cs="黑体"/>
                <w:spacing w:val="-3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是否一流本科</w:t>
            </w:r>
          </w:p>
          <w:p w14:paraId="547A5F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课程</w:t>
            </w:r>
          </w:p>
        </w:tc>
        <w:tc>
          <w:tcPr>
            <w:tcW w:w="3598" w:type="dxa"/>
            <w:vAlign w:val="center"/>
          </w:tcPr>
          <w:p w14:paraId="5D3536E7">
            <w:pPr>
              <w:spacing w:before="127" w:line="220" w:lineRule="auto"/>
              <w:ind w:left="138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□国家级</w:t>
            </w: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□省级</w:t>
            </w:r>
            <w:r>
              <w:rPr>
                <w:rFonts w:ascii="宋体" w:hAnsi="宋体" w:eastAsia="宋体" w:cs="宋体"/>
                <w:spacing w:val="7"/>
                <w:sz w:val="22"/>
                <w:szCs w:val="22"/>
              </w:rPr>
              <w:t xml:space="preserve">   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□</w:t>
            </w:r>
            <w:r>
              <w:rPr>
                <w:rFonts w:hint="eastAsia" w:ascii="宋体" w:hAnsi="宋体" w:eastAsia="宋体" w:cs="宋体"/>
                <w:spacing w:val="-10"/>
                <w:sz w:val="22"/>
                <w:szCs w:val="22"/>
                <w:lang w:val="en-US" w:eastAsia="zh-CN"/>
              </w:rPr>
              <w:t>校</w:t>
            </w:r>
            <w:r>
              <w:rPr>
                <w:rFonts w:ascii="宋体" w:hAnsi="宋体" w:eastAsia="宋体" w:cs="宋体"/>
                <w:spacing w:val="-10"/>
                <w:sz w:val="22"/>
                <w:szCs w:val="22"/>
              </w:rPr>
              <w:t>级</w:t>
            </w:r>
          </w:p>
          <w:p w14:paraId="2E7ADF06">
            <w:pPr>
              <w:spacing w:before="66" w:line="221" w:lineRule="auto"/>
              <w:ind w:left="138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2"/>
                <w:szCs w:val="22"/>
              </w:rPr>
              <w:t>□否</w:t>
            </w:r>
          </w:p>
        </w:tc>
        <w:tc>
          <w:tcPr>
            <w:tcW w:w="4432" w:type="dxa"/>
            <w:gridSpan w:val="2"/>
            <w:vAlign w:val="center"/>
          </w:tcPr>
          <w:p w14:paraId="5278D78B">
            <w:pPr>
              <w:spacing w:before="126" w:line="221" w:lineRule="auto"/>
              <w:ind w:left="140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□线上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 xml:space="preserve">     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□线下</w:t>
            </w:r>
            <w:r>
              <w:rPr>
                <w:rFonts w:ascii="宋体" w:hAnsi="宋体" w:eastAsia="宋体" w:cs="宋体"/>
                <w:spacing w:val="6"/>
                <w:sz w:val="22"/>
                <w:szCs w:val="22"/>
              </w:rPr>
              <w:t xml:space="preserve">      </w:t>
            </w:r>
            <w:r>
              <w:rPr>
                <w:rFonts w:ascii="宋体" w:hAnsi="宋体" w:eastAsia="宋体" w:cs="宋体"/>
                <w:spacing w:val="-11"/>
                <w:sz w:val="22"/>
                <w:szCs w:val="22"/>
              </w:rPr>
              <w:t>□混合式</w:t>
            </w:r>
          </w:p>
          <w:p w14:paraId="22E3E827">
            <w:pPr>
              <w:spacing w:before="66" w:line="219" w:lineRule="auto"/>
              <w:ind w:left="140"/>
              <w:jc w:val="both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□社会实践</w:t>
            </w:r>
            <w:r>
              <w:rPr>
                <w:rFonts w:ascii="宋体" w:hAnsi="宋体" w:eastAsia="宋体" w:cs="宋体"/>
                <w:spacing w:val="17"/>
                <w:sz w:val="22"/>
                <w:szCs w:val="22"/>
              </w:rPr>
              <w:t xml:space="preserve">  </w:t>
            </w:r>
            <w:r>
              <w:rPr>
                <w:rFonts w:ascii="宋体" w:hAnsi="宋体" w:eastAsia="宋体" w:cs="宋体"/>
                <w:spacing w:val="-7"/>
                <w:sz w:val="22"/>
                <w:szCs w:val="22"/>
              </w:rPr>
              <w:t>□虚拟仿真</w:t>
            </w:r>
          </w:p>
        </w:tc>
      </w:tr>
      <w:tr w14:paraId="0FED9BC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</w:trPr>
        <w:tc>
          <w:tcPr>
            <w:tcW w:w="1608" w:type="dxa"/>
            <w:vAlign w:val="center"/>
          </w:tcPr>
          <w:p w14:paraId="69CD2996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ascii="黑体" w:hAnsi="黑体" w:eastAsia="黑体" w:cs="黑体"/>
                <w:spacing w:val="-3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是否有在线</w:t>
            </w:r>
          </w:p>
          <w:p w14:paraId="7EAE4D3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ascii="黑体" w:hAnsi="黑体" w:eastAsia="黑体" w:cs="黑体"/>
                <w:spacing w:val="-3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课程</w:t>
            </w:r>
          </w:p>
        </w:tc>
        <w:tc>
          <w:tcPr>
            <w:tcW w:w="8030" w:type="dxa"/>
            <w:gridSpan w:val="3"/>
            <w:vAlign w:val="center"/>
          </w:tcPr>
          <w:p w14:paraId="0026EA64">
            <w:pPr>
              <w:spacing w:before="127" w:line="221" w:lineRule="auto"/>
              <w:ind w:left="138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□是，课程链接：</w:t>
            </w:r>
          </w:p>
          <w:p w14:paraId="4F4D334C">
            <w:pPr>
              <w:spacing w:before="65" w:line="221" w:lineRule="auto"/>
              <w:ind w:left="138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7"/>
                <w:sz w:val="22"/>
                <w:szCs w:val="22"/>
              </w:rPr>
              <w:t>□否</w:t>
            </w:r>
          </w:p>
        </w:tc>
      </w:tr>
      <w:tr w14:paraId="448B97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9" w:hRule="atLeast"/>
        </w:trPr>
        <w:tc>
          <w:tcPr>
            <w:tcW w:w="1608" w:type="dxa"/>
            <w:vAlign w:val="center"/>
          </w:tcPr>
          <w:p w14:paraId="6A34D8C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hint="eastAsia" w:ascii="黑体" w:hAnsi="黑体" w:eastAsia="黑体" w:cs="黑体"/>
                <w:spacing w:val="-3"/>
                <w:sz w:val="22"/>
                <w:szCs w:val="22"/>
                <w:lang w:val="en-US" w:eastAsia="zh-CN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是否有</w:t>
            </w:r>
            <w:r>
              <w:rPr>
                <w:rFonts w:hint="eastAsia" w:ascii="黑体" w:hAnsi="黑体" w:eastAsia="黑体" w:cs="黑体"/>
                <w:spacing w:val="-3"/>
                <w:sz w:val="22"/>
                <w:szCs w:val="22"/>
                <w:lang w:val="en-US" w:eastAsia="zh-CN"/>
              </w:rPr>
              <w:t>智慧</w:t>
            </w:r>
          </w:p>
          <w:p w14:paraId="2EEC590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40" w:lineRule="auto"/>
              <w:ind w:left="0" w:right="0" w:firstLine="0"/>
              <w:jc w:val="center"/>
              <w:textAlignment w:val="baseline"/>
              <w:rPr>
                <w:rFonts w:ascii="黑体" w:hAnsi="黑体" w:eastAsia="黑体" w:cs="黑体"/>
                <w:spacing w:val="-3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教材</w:t>
            </w:r>
          </w:p>
        </w:tc>
        <w:tc>
          <w:tcPr>
            <w:tcW w:w="8030" w:type="dxa"/>
            <w:gridSpan w:val="3"/>
            <w:vAlign w:val="center"/>
          </w:tcPr>
          <w:p w14:paraId="4F31E3FC">
            <w:pPr>
              <w:spacing w:before="150" w:line="219" w:lineRule="auto"/>
              <w:ind w:left="138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5"/>
                <w:sz w:val="22"/>
                <w:szCs w:val="22"/>
              </w:rPr>
              <w:t>□是，教材链接：</w:t>
            </w:r>
          </w:p>
          <w:p w14:paraId="34AEB383">
            <w:pPr>
              <w:spacing w:before="26" w:line="221" w:lineRule="auto"/>
              <w:ind w:left="138"/>
              <w:jc w:val="both"/>
              <w:rPr>
                <w:rFonts w:ascii="宋体" w:hAnsi="宋体" w:eastAsia="宋体" w:cs="宋体"/>
                <w:sz w:val="22"/>
                <w:szCs w:val="22"/>
              </w:rPr>
            </w:pPr>
            <w:r>
              <w:rPr>
                <w:rFonts w:ascii="宋体" w:hAnsi="宋体" w:eastAsia="宋体" w:cs="宋体"/>
                <w:spacing w:val="-17"/>
                <w:sz w:val="22"/>
                <w:szCs w:val="22"/>
              </w:rPr>
              <w:t>□否</w:t>
            </w:r>
          </w:p>
        </w:tc>
      </w:tr>
    </w:tbl>
    <w:p w14:paraId="4CD66609">
      <w:pPr>
        <w:spacing w:line="248" w:lineRule="auto"/>
        <w:rPr>
          <w:rFonts w:ascii="Arial"/>
          <w:sz w:val="21"/>
        </w:rPr>
      </w:pPr>
    </w:p>
    <w:p w14:paraId="41E450D5">
      <w:pPr>
        <w:spacing w:before="101" w:line="226" w:lineRule="auto"/>
        <w:ind w:left="418"/>
        <w:rPr>
          <w:rFonts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pacing w:val="9"/>
          <w:sz w:val="31"/>
          <w:szCs w:val="31"/>
          <w:lang w:val="en-US" w:eastAsia="zh-CN"/>
        </w:rPr>
        <w:t>二</w:t>
      </w:r>
      <w:r>
        <w:rPr>
          <w:rFonts w:ascii="黑体" w:hAnsi="黑体" w:eastAsia="黑体" w:cs="黑体"/>
          <w:spacing w:val="9"/>
          <w:sz w:val="31"/>
          <w:szCs w:val="31"/>
        </w:rPr>
        <w:t>、</w:t>
      </w:r>
      <w:r>
        <w:rPr>
          <w:rFonts w:hint="eastAsia" w:ascii="黑体" w:hAnsi="黑体" w:eastAsia="黑体" w:cs="黑体"/>
          <w:spacing w:val="9"/>
          <w:sz w:val="31"/>
          <w:szCs w:val="31"/>
          <w:lang w:val="en-US" w:eastAsia="zh-CN"/>
        </w:rPr>
        <w:t>数字</w:t>
      </w:r>
      <w:r>
        <w:rPr>
          <w:rFonts w:ascii="黑体" w:hAnsi="黑体" w:eastAsia="黑体" w:cs="黑体"/>
          <w:spacing w:val="9"/>
          <w:sz w:val="31"/>
          <w:szCs w:val="31"/>
        </w:rPr>
        <w:t>课程建设及人工智能赋能教学改革创新的措施</w:t>
      </w:r>
    </w:p>
    <w:p w14:paraId="1D9C3C59">
      <w:pPr>
        <w:spacing w:line="73" w:lineRule="auto"/>
        <w:rPr>
          <w:rFonts w:ascii="Arial"/>
          <w:sz w:val="2"/>
        </w:rPr>
      </w:pPr>
    </w:p>
    <w:tbl>
      <w:tblPr>
        <w:tblStyle w:val="6"/>
        <w:tblW w:w="9638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75"/>
        <w:gridCol w:w="8363"/>
      </w:tblGrid>
      <w:tr w14:paraId="298F1D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9" w:hRule="atLeast"/>
        </w:trPr>
        <w:tc>
          <w:tcPr>
            <w:tcW w:w="1275" w:type="dxa"/>
            <w:vAlign w:val="center"/>
          </w:tcPr>
          <w:p w14:paraId="637BEF9D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课程</w:t>
            </w:r>
            <w:bookmarkStart w:id="0" w:name="_GoBack"/>
            <w:bookmarkEnd w:id="0"/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简介</w:t>
            </w:r>
          </w:p>
        </w:tc>
        <w:tc>
          <w:tcPr>
            <w:tcW w:w="8363" w:type="dxa"/>
            <w:vAlign w:val="top"/>
          </w:tcPr>
          <w:p w14:paraId="5EB408CF">
            <w:pPr>
              <w:spacing w:before="71" w:line="264" w:lineRule="auto"/>
              <w:ind w:left="133" w:right="108" w:hanging="25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（包括但不限于课程基本概况、线上线下学时比例、</w:t>
            </w:r>
            <w:r>
              <w:rPr>
                <w:rFonts w:hint="eastAsia" w:ascii="仿宋" w:hAnsi="仿宋" w:eastAsia="仿宋" w:cs="仿宋"/>
                <w:spacing w:val="-1"/>
                <w:sz w:val="24"/>
                <w:szCs w:val="24"/>
                <w:lang w:eastAsia="zh-CN"/>
              </w:rPr>
              <w:t>数字课程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建设历程及取得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的</w:t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val="en-US" w:eastAsia="zh-CN"/>
              </w:rPr>
              <w:t>阶段性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成果等。</w:t>
            </w:r>
            <w:r>
              <w:rPr>
                <w:rFonts w:ascii="仿宋" w:hAnsi="仿宋" w:eastAsia="仿宋" w:cs="仿宋"/>
                <w:spacing w:val="-6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限</w:t>
            </w:r>
            <w:r>
              <w:rPr>
                <w:rFonts w:ascii="仿宋" w:hAnsi="仿宋" w:eastAsia="仿宋" w:cs="仿宋"/>
                <w:spacing w:val="-3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500</w:t>
            </w:r>
            <w:r>
              <w:rPr>
                <w:rFonts w:ascii="仿宋" w:hAnsi="仿宋" w:eastAsia="仿宋" w:cs="仿宋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字）</w:t>
            </w:r>
          </w:p>
        </w:tc>
      </w:tr>
      <w:tr w14:paraId="7CA9EA7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3" w:hRule="atLeast"/>
        </w:trPr>
        <w:tc>
          <w:tcPr>
            <w:tcW w:w="1275" w:type="dxa"/>
            <w:vAlign w:val="center"/>
          </w:tcPr>
          <w:p w14:paraId="631F660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课程建设以学生为中心</w:t>
            </w:r>
          </w:p>
        </w:tc>
        <w:tc>
          <w:tcPr>
            <w:tcW w:w="8363" w:type="dxa"/>
            <w:vAlign w:val="top"/>
          </w:tcPr>
          <w:p w14:paraId="3EA81B1E">
            <w:pPr>
              <w:spacing w:before="68" w:line="262" w:lineRule="auto"/>
              <w:ind w:left="115" w:right="56" w:hanging="7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阐述课程建设理念，重点关注过程能否贯彻</w:t>
            </w:r>
            <w:r>
              <w:rPr>
                <w:rFonts w:ascii="仿宋" w:hAnsi="仿宋" w:eastAsia="仿宋" w:cs="仿宋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77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以学生为中心”</w:t>
            </w:r>
            <w:r>
              <w:rPr>
                <w:rFonts w:ascii="仿宋" w:hAnsi="仿宋" w:eastAsia="仿宋" w:cs="仿宋"/>
                <w:spacing w:val="-93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7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以学习成果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为导向”的教育理念；线上线下如何互补融合;如何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构建</w:t>
            </w:r>
            <w:r>
              <w:rPr>
                <w:rFonts w:ascii="仿宋" w:hAnsi="仿宋" w:eastAsia="仿宋" w:cs="仿宋"/>
                <w:spacing w:val="-88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“</w:t>
            </w:r>
            <w:r>
              <w:rPr>
                <w:rFonts w:ascii="仿宋" w:hAnsi="仿宋" w:eastAsia="仿宋" w:cs="仿宋"/>
                <w:spacing w:val="-91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师-生-机”共同体；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打造生成式课堂等，限</w:t>
            </w:r>
            <w:r>
              <w:rPr>
                <w:rFonts w:ascii="仿宋" w:hAnsi="仿宋" w:eastAsia="仿宋" w:cs="仿宋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1000</w:t>
            </w:r>
            <w:r>
              <w:rPr>
                <w:rFonts w:ascii="仿宋" w:hAnsi="仿宋" w:eastAsia="仿宋" w:cs="仿宋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字）</w:t>
            </w:r>
          </w:p>
        </w:tc>
      </w:tr>
      <w:tr w14:paraId="1482A7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7" w:hRule="atLeast"/>
        </w:trPr>
        <w:tc>
          <w:tcPr>
            <w:tcW w:w="1275" w:type="dxa"/>
            <w:vAlign w:val="center"/>
          </w:tcPr>
          <w:p w14:paraId="7555F565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智能辅助教学工具建设</w:t>
            </w:r>
          </w:p>
        </w:tc>
        <w:tc>
          <w:tcPr>
            <w:tcW w:w="8363" w:type="dxa"/>
            <w:vAlign w:val="top"/>
          </w:tcPr>
          <w:p w14:paraId="215CC209">
            <w:pPr>
              <w:spacing w:before="70" w:line="263" w:lineRule="auto"/>
              <w:ind w:left="118" w:right="108" w:hanging="10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阐述课程使用或引入的智慧平台、人工智能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模型和工具，以及利用人工智能</w:t>
            </w:r>
            <w:r>
              <w:rPr>
                <w:rFonts w:ascii="仿宋" w:hAnsi="仿宋" w:eastAsia="仿宋" w:cs="仿宋"/>
                <w:spacing w:val="-1"/>
                <w:sz w:val="24"/>
                <w:szCs w:val="24"/>
              </w:rPr>
              <w:t>工具进行个性化教学，促进学生自主学习和解决复杂问题能力的培养等情况，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限</w:t>
            </w:r>
            <w:r>
              <w:rPr>
                <w:rFonts w:ascii="仿宋" w:hAnsi="仿宋" w:eastAsia="仿宋" w:cs="仿宋"/>
                <w:spacing w:val="-40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5"/>
                <w:sz w:val="24"/>
                <w:szCs w:val="24"/>
                <w:lang w:val="en-US" w:eastAsia="zh-CN"/>
              </w:rPr>
              <w:t>500</w:t>
            </w:r>
            <w:r>
              <w:rPr>
                <w:rFonts w:ascii="仿宋" w:hAnsi="仿宋" w:eastAsia="仿宋" w:cs="仿宋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5"/>
                <w:sz w:val="24"/>
                <w:szCs w:val="24"/>
              </w:rPr>
              <w:t>字）</w:t>
            </w:r>
          </w:p>
        </w:tc>
      </w:tr>
      <w:tr w14:paraId="27C23CA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80" w:hRule="atLeast"/>
        </w:trPr>
        <w:tc>
          <w:tcPr>
            <w:tcW w:w="1275" w:type="dxa"/>
            <w:vAlign w:val="center"/>
          </w:tcPr>
          <w:p w14:paraId="07F58D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ind w:left="0"/>
              <w:jc w:val="center"/>
              <w:textAlignment w:val="baseline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</w:rPr>
              <w:t>富媒体教学资源整合</w:t>
            </w:r>
          </w:p>
        </w:tc>
        <w:tc>
          <w:tcPr>
            <w:tcW w:w="8363" w:type="dxa"/>
            <w:vAlign w:val="top"/>
          </w:tcPr>
          <w:p w14:paraId="3BCD8965">
            <w:pPr>
              <w:spacing w:before="72" w:line="263" w:lineRule="auto"/>
              <w:ind w:left="110" w:right="108" w:hanging="2"/>
              <w:jc w:val="both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spacing w:val="-59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阐述课程内容与资源（例如但不限于知识图谱、</w:t>
            </w:r>
            <w:r>
              <w:rPr>
                <w:rFonts w:hint="eastAsia" w:ascii="仿宋" w:hAnsi="仿宋" w:eastAsia="仿宋" w:cs="仿宋"/>
                <w:spacing w:val="-3"/>
                <w:sz w:val="24"/>
                <w:szCs w:val="24"/>
                <w:lang w:val="en-US" w:eastAsia="zh-CN"/>
              </w:rPr>
              <w:t>AI</w:t>
            </w:r>
            <w:r>
              <w:rPr>
                <w:rFonts w:ascii="仿宋" w:hAnsi="仿宋" w:eastAsia="仿宋" w:cs="仿宋"/>
                <w:spacing w:val="-3"/>
                <w:sz w:val="24"/>
                <w:szCs w:val="24"/>
              </w:rPr>
              <w:t>生成式资源</w:t>
            </w:r>
            <w:r>
              <w:rPr>
                <w:rFonts w:ascii="仿宋" w:hAnsi="仿宋" w:eastAsia="仿宋" w:cs="仿宋"/>
                <w:spacing w:val="-4"/>
                <w:sz w:val="24"/>
                <w:szCs w:val="24"/>
              </w:rPr>
              <w:t>等）的</w:t>
            </w:r>
            <w:r>
              <w:rPr>
                <w:rFonts w:ascii="仿宋" w:hAnsi="仿宋" w:eastAsia="仿宋" w:cs="仿宋"/>
                <w:spacing w:val="-6"/>
                <w:sz w:val="24"/>
                <w:szCs w:val="24"/>
              </w:rPr>
              <w:t>建设、整合及应用过程，重点关注利用数智技术重构教学内容的</w:t>
            </w:r>
            <w:r>
              <w:rPr>
                <w:rFonts w:ascii="仿宋" w:hAnsi="仿宋" w:eastAsia="仿宋" w:cs="仿宋"/>
                <w:spacing w:val="-7"/>
                <w:sz w:val="24"/>
                <w:szCs w:val="24"/>
              </w:rPr>
              <w:t>创新性，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限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lang w:val="en-US" w:eastAsia="zh-CN"/>
              </w:rPr>
              <w:t>500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字</w:t>
            </w:r>
            <w:r>
              <w:rPr>
                <w:rFonts w:ascii="仿宋" w:hAnsi="仿宋" w:eastAsia="仿宋" w:cs="仿宋"/>
                <w:spacing w:val="11"/>
                <w:sz w:val="24"/>
                <w:szCs w:val="24"/>
              </w:rPr>
              <w:t>）</w:t>
            </w:r>
          </w:p>
        </w:tc>
      </w:tr>
      <w:tr w14:paraId="31DEC32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52" w:hRule="atLeast"/>
        </w:trPr>
        <w:tc>
          <w:tcPr>
            <w:tcW w:w="1275" w:type="dxa"/>
            <w:vAlign w:val="center"/>
          </w:tcPr>
          <w:p w14:paraId="6ACD3CA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ind w:left="0"/>
              <w:jc w:val="center"/>
              <w:textAlignment w:val="baseline"/>
              <w:rPr>
                <w:rFonts w:ascii="黑体" w:hAnsi="黑体" w:eastAsia="黑体" w:cs="黑体"/>
                <w:spacing w:val="-3"/>
                <w:sz w:val="22"/>
                <w:szCs w:val="22"/>
                <w:lang w:val="en-US" w:eastAsia="en-US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  <w:lang w:val="en-US" w:eastAsia="en-US"/>
              </w:rPr>
              <w:t>实时学情监测和分析</w:t>
            </w:r>
          </w:p>
        </w:tc>
        <w:tc>
          <w:tcPr>
            <w:tcW w:w="8363" w:type="dxa"/>
            <w:vAlign w:val="top"/>
          </w:tcPr>
          <w:p w14:paraId="2F806CC4">
            <w:pPr>
              <w:spacing w:before="70" w:line="263" w:lineRule="auto"/>
              <w:ind w:left="116" w:right="108" w:hanging="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（</w:t>
            </w:r>
            <w:r>
              <w:rPr>
                <w:rFonts w:ascii="仿宋" w:hAnsi="仿宋" w:eastAsia="仿宋" w:cs="仿宋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4"/>
                <w:szCs w:val="24"/>
              </w:rPr>
              <w:t>阐述课程的学习评价与反馈方式,重点分析利用智能评价、数字画像等评价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方式提高课程目标达成度的路径，限</w:t>
            </w:r>
            <w:r>
              <w:rPr>
                <w:rFonts w:ascii="仿宋" w:hAnsi="仿宋" w:eastAsia="仿宋" w:cs="仿宋"/>
                <w:spacing w:val="-26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lang w:val="en-US" w:eastAsia="zh-CN"/>
              </w:rPr>
              <w:t>500</w:t>
            </w:r>
            <w:r>
              <w:rPr>
                <w:rFonts w:ascii="仿宋" w:hAnsi="仿宋" w:eastAsia="仿宋" w:cs="仿宋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字）</w:t>
            </w:r>
          </w:p>
        </w:tc>
      </w:tr>
      <w:tr w14:paraId="61FB30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3" w:hRule="atLeast"/>
        </w:trPr>
        <w:tc>
          <w:tcPr>
            <w:tcW w:w="1275" w:type="dxa"/>
            <w:vAlign w:val="center"/>
          </w:tcPr>
          <w:p w14:paraId="6D52A69A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222" w:lineRule="auto"/>
              <w:ind w:left="0"/>
              <w:jc w:val="center"/>
              <w:textAlignment w:val="baseline"/>
              <w:rPr>
                <w:rFonts w:hint="default" w:ascii="黑体" w:hAnsi="黑体" w:eastAsia="黑体" w:cs="黑体"/>
                <w:spacing w:val="-3"/>
                <w:sz w:val="22"/>
                <w:szCs w:val="22"/>
                <w:lang w:val="en-US" w:eastAsia="zh-CN"/>
              </w:rPr>
            </w:pPr>
            <w:r>
              <w:rPr>
                <w:rFonts w:ascii="黑体" w:hAnsi="黑体" w:eastAsia="黑体" w:cs="黑体"/>
                <w:spacing w:val="-3"/>
                <w:sz w:val="22"/>
                <w:szCs w:val="22"/>
                <w:lang w:val="en-US" w:eastAsia="en-US"/>
              </w:rPr>
              <w:t>AI智慧教学改革创新的</w:t>
            </w:r>
            <w:r>
              <w:rPr>
                <w:rFonts w:hint="eastAsia" w:ascii="黑体" w:hAnsi="黑体" w:eastAsia="黑体" w:cs="黑体"/>
                <w:spacing w:val="-3"/>
                <w:sz w:val="22"/>
                <w:szCs w:val="22"/>
                <w:lang w:val="en-US" w:eastAsia="zh-CN"/>
              </w:rPr>
              <w:t>未来计划</w:t>
            </w:r>
          </w:p>
        </w:tc>
        <w:tc>
          <w:tcPr>
            <w:tcW w:w="8363" w:type="dxa"/>
            <w:vAlign w:val="top"/>
          </w:tcPr>
          <w:p w14:paraId="1C62F615">
            <w:pPr>
              <w:spacing w:before="69" w:line="264" w:lineRule="auto"/>
              <w:ind w:left="136" w:right="153" w:hanging="28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（聚焦目标达成，阐述课程开展智慧教学改革的</w:t>
            </w:r>
            <w:r>
              <w:rPr>
                <w:rFonts w:hint="eastAsia" w:ascii="仿宋" w:hAnsi="仿宋" w:eastAsia="仿宋" w:cs="仿宋"/>
                <w:spacing w:val="-2"/>
                <w:sz w:val="24"/>
                <w:szCs w:val="24"/>
                <w:lang w:val="en-US" w:eastAsia="zh-CN"/>
              </w:rPr>
              <w:t>未来计划</w:t>
            </w:r>
            <w:r>
              <w:rPr>
                <w:rFonts w:ascii="仿宋" w:hAnsi="仿宋" w:eastAsia="仿宋" w:cs="仿宋"/>
                <w:spacing w:val="-2"/>
                <w:sz w:val="24"/>
                <w:szCs w:val="24"/>
              </w:rPr>
              <w:t>，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限</w:t>
            </w:r>
            <w:r>
              <w:rPr>
                <w:rFonts w:ascii="仿宋" w:hAnsi="仿宋" w:eastAsia="仿宋" w:cs="仿宋"/>
                <w:spacing w:val="-33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8"/>
                <w:sz w:val="24"/>
                <w:szCs w:val="24"/>
                <w:lang w:val="en-US" w:eastAsia="zh-CN"/>
              </w:rPr>
              <w:t>500</w:t>
            </w:r>
            <w:r>
              <w:rPr>
                <w:rFonts w:ascii="仿宋" w:hAnsi="仿宋" w:eastAsia="仿宋" w:cs="仿宋"/>
                <w:spacing w:val="-8"/>
                <w:sz w:val="24"/>
                <w:szCs w:val="24"/>
              </w:rPr>
              <w:t>字）</w:t>
            </w:r>
          </w:p>
        </w:tc>
      </w:tr>
    </w:tbl>
    <w:p w14:paraId="492E51B1">
      <w:pPr>
        <w:rPr>
          <w:rFonts w:ascii="Arial"/>
          <w:sz w:val="21"/>
        </w:rPr>
      </w:pPr>
    </w:p>
    <w:sectPr>
      <w:footerReference r:id="rId5" w:type="default"/>
      <w:pgSz w:w="11906" w:h="16839"/>
      <w:pgMar w:top="1431" w:right="1131" w:bottom="1171" w:left="1131" w:header="0" w:footer="80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F660DB">
    <w:pPr>
      <w:pStyle w:val="2"/>
      <w:spacing w:line="234" w:lineRule="auto"/>
      <w:ind w:left="433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17B31A5"/>
    <w:rsid w:val="16DA6465"/>
    <w:rsid w:val="2C994500"/>
    <w:rsid w:val="595C7A88"/>
    <w:rsid w:val="7FE815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8"/>
      <w:szCs w:val="28"/>
      <w:lang w:val="en-US" w:eastAsia="en-US" w:bidi="ar-SA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547</Words>
  <Characters>562</Characters>
  <TotalTime>19</TotalTime>
  <ScaleCrop>false</ScaleCrop>
  <LinksUpToDate>false</LinksUpToDate>
  <CharactersWithSpaces>602</CharactersWithSpaces>
  <Application>WPS Office_12.1.0.26375_F1E327BC-269C-435d-A152-05C5408002CA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2025-04-16T09:46:00Z</dcterms:created>
  <dc:creator>刘冰</dc:creator>
  <cp:lastModifiedBy>沔阳青</cp:lastModifiedBy>
  <dcterms:modified xsi:type="dcterms:W3CDTF">2026-05-20T08:33:34Z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2026-05-14T13:36:19Z</vt:filetime>
  </property>
  <property fmtid="{D5CDD505-2E9C-101B-9397-08002B2CF9AE}" pid="4" name="KSOTemplateDocerSaveRecord">
    <vt:lpwstr>eyJoZGlkIjoiMjc3NzZiZTFhMTlkMGU4NjZlNWM3YWYxOTNiNmM3ZmMiLCJ1c2VySWQiOiIyNDI4NDc2MzMifQ==</vt:lpwstr>
  </property>
  <property fmtid="{D5CDD505-2E9C-101B-9397-08002B2CF9AE}" pid="5" name="KSOProductBuildVer">
    <vt:lpwstr>2052-12.1.0.26375</vt:lpwstr>
  </property>
  <property fmtid="{D5CDD505-2E9C-101B-9397-08002B2CF9AE}" pid="6" name="ICV">
    <vt:lpwstr>B54605DFB294428E97CB945537B0C9F2_12</vt:lpwstr>
  </property>
</Properties>
</file>