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8297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zh-CN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zh-CN" w:eastAsia="zh-CN"/>
        </w:rPr>
        <w:t>湖北经济学院法商学院传媒与艺术</w:t>
      </w:r>
      <w:r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en-US" w:eastAsia="zh-CN"/>
        </w:rPr>
        <w:t>设计</w:t>
      </w:r>
      <w:r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zh-CN" w:eastAsia="zh-CN"/>
        </w:rPr>
        <w:t>系</w:t>
      </w:r>
    </w:p>
    <w:p w14:paraId="615F87C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zh-CN" w:eastAsia="zh-CN"/>
        </w:rPr>
      </w:pPr>
      <w:r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zh-CN" w:eastAsia="zh-CN"/>
        </w:rPr>
        <w:t>艺术类专业本科毕业设计（设计报告）管理规定（</w:t>
      </w:r>
      <w:r>
        <w:rPr>
          <w:rFonts w:hint="eastAsia" w:ascii="华文中宋" w:hAnsi="华文中宋" w:eastAsia="华文中宋" w:cs="华文中宋"/>
          <w:b/>
          <w:bCs/>
          <w:color w:val="333333"/>
          <w:kern w:val="0"/>
          <w:sz w:val="32"/>
          <w:szCs w:val="32"/>
          <w:lang w:val="en-US" w:eastAsia="zh-CN"/>
        </w:rPr>
        <w:t>修订版）</w:t>
      </w:r>
    </w:p>
    <w:p w14:paraId="20944E8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center"/>
        <w:textAlignment w:val="auto"/>
        <w:rPr>
          <w:rFonts w:hint="eastAsia" w:ascii="宋体" w:hAnsi="宋体"/>
          <w:color w:val="333333"/>
          <w:kern w:val="0"/>
          <w:sz w:val="24"/>
          <w:szCs w:val="24"/>
        </w:rPr>
      </w:pPr>
    </w:p>
    <w:p w14:paraId="488A1354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/>
          <w:i w:val="0"/>
          <w:iCs w:val="0"/>
          <w:color w:val="0F1115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毕业设计（设计报告）是本科人才培养方案中重要的实践教学环节，是检验学生综合素质与实践创新能力的有效途径。为进一步加强和规范本科毕业设计（设计报告）教学管理，提高人才培养质量，结合艺术类专业特点与学校最新管理办法，特修订本规定。</w:t>
      </w:r>
    </w:p>
    <w:p w14:paraId="08E8EC3E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一、毕业设计（设计报告）的基本要求</w:t>
      </w:r>
    </w:p>
    <w:p w14:paraId="6E384B6D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（一）毕业设计（设计报告）由毕业设计作品与设计报告两部分组成，其中设计作品占总成绩的70%，设计报告占30%。设计报告正文字数原则上不少于5000字，符合学校字数规范要求。</w:t>
      </w:r>
    </w:p>
    <w:p w14:paraId="0358D2CA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（二）培养学生综合运用所学知识独立分析和解决实际问题的能力，强化理论研究、实践探索、设计思维、视觉表达、文献查阅与文字表达等综合能力。</w:t>
      </w:r>
    </w:p>
    <w:p w14:paraId="0D4CCAB5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（三）培养学生严谨、求实、创新的学术态度与理论联系实际的工作作风。</w:t>
      </w:r>
    </w:p>
    <w:p w14:paraId="16A0BED6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（四）强化创新意识与创新能力培养，鼓励学生在设计理念、表现形式与技术应用等方面进行探索与突破。</w:t>
      </w:r>
    </w:p>
    <w:p w14:paraId="0D428817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（五）使学生接受一次完整的课题研究、设计开发与成果表达的系统训练。</w:t>
      </w:r>
    </w:p>
    <w:p w14:paraId="405B3208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二、毕业设计（设计报告）的时间安排</w:t>
      </w:r>
    </w:p>
    <w:p w14:paraId="0BCD036D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毕业设计（设计报告）工作安排在第七至第八学期。第七学期完成师生双向选择、选题与开题工作；第八学期完成设计创作、报告撰写、答辩与归档等工作。学生应在规定时间内通过“毕业论文（设计）全过程管理平台”完成各阶段材料的提交与审核。</w:t>
      </w:r>
    </w:p>
    <w:p w14:paraId="05110733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三、毕业设计（设计报告）的选题</w:t>
      </w:r>
    </w:p>
    <w:p w14:paraId="3794B646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479" w:leftChars="228" w:right="0" w:firstLine="0" w:firstLineChars="0"/>
        <w:textAlignment w:val="auto"/>
        <w:rPr>
          <w:rFonts w:hint="eastAsia" w:ascii="宋体" w:hAnsi="宋体" w:eastAsia="宋体"/>
          <w:b/>
          <w:bCs/>
          <w:i w:val="0"/>
          <w:iCs w:val="0"/>
          <w:color w:val="0F1115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/>
          <w:b/>
          <w:bCs/>
          <w:i w:val="0"/>
          <w:iCs w:val="0"/>
          <w:color w:val="0F1115"/>
          <w:spacing w:val="0"/>
          <w:sz w:val="24"/>
          <w:szCs w:val="24"/>
          <w:shd w:val="clear" w:color="auto" w:fill="FFFFFF"/>
        </w:rPr>
        <w:t>（一）选题原则</w:t>
      </w:r>
    </w:p>
    <w:p w14:paraId="1E4A4C45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选题应紧密联系社会经济发展实际，反映本学科前沿动态，注重与行业企业一线需求、教师科研课题相结合。鼓励选择与湖北省、武汉市地方经济、文化建设相关的实际课题。选题应难度适中、工作量饱满，体现综合训练目标。原则上每生一题，确需多人合作课题，须明确每位学生的独立任务与成果，并形成独立的设计报告。</w:t>
      </w:r>
    </w:p>
    <w:p w14:paraId="42587A8C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479" w:leftChars="228" w:right="0" w:firstLine="0" w:firstLineChars="0"/>
        <w:textAlignment w:val="auto"/>
        <w:rPr>
          <w:rFonts w:hint="eastAsia" w:ascii="宋体" w:hAnsi="宋体" w:eastAsia="宋体"/>
          <w:b/>
          <w:bCs/>
          <w:i w:val="0"/>
          <w:iCs w:val="0"/>
          <w:color w:val="0F1115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/>
          <w:b/>
          <w:bCs/>
          <w:i w:val="0"/>
          <w:iCs w:val="0"/>
          <w:color w:val="0F1115"/>
          <w:spacing w:val="0"/>
          <w:sz w:val="24"/>
          <w:szCs w:val="24"/>
          <w:shd w:val="clear" w:color="auto" w:fill="FFFFFF"/>
          <w:lang w:val="en-US" w:eastAsia="zh-CN"/>
        </w:rPr>
        <w:t>（二）</w:t>
      </w:r>
      <w:r>
        <w:rPr>
          <w:rFonts w:hint="eastAsia" w:ascii="宋体" w:hAnsi="宋体" w:eastAsia="宋体"/>
          <w:b/>
          <w:bCs/>
          <w:i w:val="0"/>
          <w:iCs w:val="0"/>
          <w:color w:val="0F1115"/>
          <w:spacing w:val="0"/>
          <w:sz w:val="24"/>
          <w:szCs w:val="24"/>
          <w:shd w:val="clear" w:color="auto" w:fill="FFFFFF"/>
          <w:lang w:val="en-US" w:eastAsia="zh-CN"/>
        </w:rPr>
        <w:t>选题更新与审核</w:t>
      </w:r>
    </w:p>
    <w:p w14:paraId="143B6745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选题应注重更新率，原则上不低于50%。所有选题须经系部审核，报学院备案。选题一经确定，不得随意更改，确需修改须经指导教师审核同意。</w:t>
      </w:r>
    </w:p>
    <w:p w14:paraId="44511352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48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lang w:val="en-US" w:eastAsia="zh-CN" w:bidi="ar-SA"/>
        </w:rPr>
        <w:t>（三）选题参考范围（可根据实际微调）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2193"/>
        <w:gridCol w:w="2189"/>
      </w:tblGrid>
      <w:tr w14:paraId="60D8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shd w:val="clear" w:color="auto" w:fill="E0E0E0"/>
            <w:vAlign w:val="center"/>
          </w:tcPr>
          <w:p w14:paraId="38366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环境设计专业</w:t>
            </w:r>
          </w:p>
        </w:tc>
        <w:tc>
          <w:tcPr>
            <w:tcW w:w="2193" w:type="dxa"/>
            <w:shd w:val="clear" w:color="auto" w:fill="E0E0E0"/>
            <w:vAlign w:val="center"/>
          </w:tcPr>
          <w:p w14:paraId="0AB53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视觉传达设计专业</w:t>
            </w:r>
          </w:p>
        </w:tc>
        <w:tc>
          <w:tcPr>
            <w:tcW w:w="2189" w:type="dxa"/>
            <w:shd w:val="clear" w:color="auto" w:fill="E0E0E0"/>
            <w:vAlign w:val="center"/>
          </w:tcPr>
          <w:p w14:paraId="67560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动画专业</w:t>
            </w:r>
          </w:p>
        </w:tc>
      </w:tr>
      <w:tr w14:paraId="1A14C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315FF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室内设计</w:t>
            </w:r>
          </w:p>
        </w:tc>
        <w:tc>
          <w:tcPr>
            <w:tcW w:w="2193" w:type="dxa"/>
            <w:vAlign w:val="center"/>
          </w:tcPr>
          <w:p w14:paraId="127E3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广告设计</w:t>
            </w:r>
          </w:p>
        </w:tc>
        <w:tc>
          <w:tcPr>
            <w:tcW w:w="2189" w:type="dxa"/>
            <w:vAlign w:val="center"/>
          </w:tcPr>
          <w:p w14:paraId="012A0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二维动画</w:t>
            </w:r>
          </w:p>
        </w:tc>
      </w:tr>
      <w:tr w14:paraId="5AE5A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1D3FC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景观设计</w:t>
            </w:r>
          </w:p>
        </w:tc>
        <w:tc>
          <w:tcPr>
            <w:tcW w:w="2193" w:type="dxa"/>
            <w:vAlign w:val="center"/>
          </w:tcPr>
          <w:p w14:paraId="05A7F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包装设计</w:t>
            </w:r>
          </w:p>
        </w:tc>
        <w:tc>
          <w:tcPr>
            <w:tcW w:w="2189" w:type="dxa"/>
            <w:vAlign w:val="center"/>
          </w:tcPr>
          <w:p w14:paraId="46164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三维动画</w:t>
            </w:r>
          </w:p>
        </w:tc>
      </w:tr>
      <w:tr w14:paraId="6E38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1B4B4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园林设计</w:t>
            </w:r>
          </w:p>
        </w:tc>
        <w:tc>
          <w:tcPr>
            <w:tcW w:w="2193" w:type="dxa"/>
            <w:vAlign w:val="center"/>
          </w:tcPr>
          <w:p w14:paraId="65093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招贴设计</w:t>
            </w:r>
          </w:p>
        </w:tc>
        <w:tc>
          <w:tcPr>
            <w:tcW w:w="2189" w:type="dxa"/>
            <w:vAlign w:val="center"/>
          </w:tcPr>
          <w:p w14:paraId="6C139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游戏设计</w:t>
            </w:r>
          </w:p>
        </w:tc>
      </w:tr>
      <w:tr w14:paraId="68336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229AC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家具设计</w:t>
            </w:r>
          </w:p>
        </w:tc>
        <w:tc>
          <w:tcPr>
            <w:tcW w:w="2193" w:type="dxa"/>
            <w:vAlign w:val="center"/>
          </w:tcPr>
          <w:p w14:paraId="7F59A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书籍装帧设计</w:t>
            </w:r>
          </w:p>
        </w:tc>
        <w:tc>
          <w:tcPr>
            <w:tcW w:w="2189" w:type="dxa"/>
            <w:vAlign w:val="center"/>
          </w:tcPr>
          <w:p w14:paraId="1D41A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定格动画</w:t>
            </w:r>
          </w:p>
        </w:tc>
      </w:tr>
      <w:tr w14:paraId="6EE02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7E0F1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展示设计</w:t>
            </w:r>
          </w:p>
        </w:tc>
        <w:tc>
          <w:tcPr>
            <w:tcW w:w="2193" w:type="dxa"/>
            <w:vAlign w:val="center"/>
          </w:tcPr>
          <w:p w14:paraId="0BC9B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品牌设计</w:t>
            </w:r>
          </w:p>
        </w:tc>
        <w:tc>
          <w:tcPr>
            <w:tcW w:w="2189" w:type="dxa"/>
            <w:vAlign w:val="center"/>
          </w:tcPr>
          <w:p w14:paraId="74AE8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原画设计</w:t>
            </w:r>
          </w:p>
        </w:tc>
      </w:tr>
      <w:tr w14:paraId="08763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4CB4A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建筑虚拟漫游</w:t>
            </w:r>
          </w:p>
        </w:tc>
        <w:tc>
          <w:tcPr>
            <w:tcW w:w="2193" w:type="dxa"/>
            <w:vAlign w:val="center"/>
          </w:tcPr>
          <w:p w14:paraId="388BB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交互设计</w:t>
            </w:r>
          </w:p>
        </w:tc>
        <w:tc>
          <w:tcPr>
            <w:tcW w:w="2189" w:type="dxa"/>
            <w:vAlign w:val="center"/>
          </w:tcPr>
          <w:p w14:paraId="17DEC3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FC33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3" w:type="dxa"/>
            <w:vAlign w:val="center"/>
          </w:tcPr>
          <w:p w14:paraId="420F8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装置设计</w:t>
            </w:r>
          </w:p>
        </w:tc>
        <w:tc>
          <w:tcPr>
            <w:tcW w:w="2193" w:type="dxa"/>
            <w:vAlign w:val="center"/>
          </w:tcPr>
          <w:p w14:paraId="38870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插画设计</w:t>
            </w:r>
          </w:p>
        </w:tc>
        <w:tc>
          <w:tcPr>
            <w:tcW w:w="2189" w:type="dxa"/>
            <w:vAlign w:val="center"/>
          </w:tcPr>
          <w:p w14:paraId="0ED96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510F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93" w:type="dxa"/>
            <w:vAlign w:val="center"/>
          </w:tcPr>
          <w:p w14:paraId="0CE83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93" w:type="dxa"/>
            <w:vAlign w:val="center"/>
          </w:tcPr>
          <w:p w14:paraId="3F1D2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装置设计</w:t>
            </w:r>
          </w:p>
        </w:tc>
        <w:tc>
          <w:tcPr>
            <w:tcW w:w="2189" w:type="dxa"/>
            <w:vAlign w:val="center"/>
          </w:tcPr>
          <w:p w14:paraId="395DA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1658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6575" w:type="dxa"/>
            <w:gridSpan w:val="3"/>
            <w:vAlign w:val="center"/>
          </w:tcPr>
          <w:p w14:paraId="19C8A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  <w:t>说明：以上选题为参考范围，可根据经济社会发展需要和本专业的实际情况适时调整毕业设计（设计报告）选题范围</w:t>
            </w:r>
          </w:p>
        </w:tc>
      </w:tr>
    </w:tbl>
    <w:p w14:paraId="20C67128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四、毕业设计（设计报告）的组织管理</w:t>
      </w:r>
    </w:p>
    <w:p w14:paraId="26787414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（一）系部成立毕业设计（设计报告）工作委员会，负责制度建设、过程监督、质量检查、评优推荐等工作。</w:t>
      </w:r>
    </w:p>
    <w:p w14:paraId="03138BC0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（二）系部负责组织答辩小组，落实答辩安排，实行指导教师回避制度。</w:t>
      </w:r>
    </w:p>
    <w:p w14:paraId="1E9CE60C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（三）系部负责毕业设计（设计报告）全过程管理，包括选题、开题、中期检查、查重、答辩、抽检与归档等环节。</w:t>
      </w:r>
    </w:p>
    <w:p w14:paraId="731694A6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五、毕业设计（设计报告）的指导教师及其职责</w:t>
      </w:r>
    </w:p>
    <w:p w14:paraId="16553232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（一）指导教师原则上应具有讲师以上职称或博士学位。鼓励实行校企“双导师”制。每位指导教师指导学生数原则上不超过20篇。</w:t>
      </w:r>
    </w:p>
    <w:p w14:paraId="1B06B95E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（二）指导教师应坚守岗位，确需中断指导须经系部批准并安排接替教师。</w:t>
      </w:r>
    </w:p>
    <w:p w14:paraId="0E409D45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（三）指导教师职责包括：审核选题、指导开题、检查进度、规范格式、评定成绩、参与答辩、审核终稿等。</w:t>
      </w:r>
    </w:p>
    <w:p w14:paraId="2B94A90F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六、毕业设计（设计报告）对学生的要求</w:t>
      </w:r>
    </w:p>
    <w:p w14:paraId="768760C0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（一）独立完成毕业设计（设计报告）任务，恪守学术道德，严禁抄袭、剽窃。</w:t>
      </w:r>
    </w:p>
    <w:p w14:paraId="4A3895D3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（二）按时在管理平台提交各阶段材料，参加答辩。</w:t>
      </w:r>
    </w:p>
    <w:p w14:paraId="7CBCC658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（三）通过答辩后须在规定时间内上传终稿，并提交完整归档材料。</w:t>
      </w:r>
    </w:p>
    <w:p w14:paraId="7AEBCAAB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（四）未通过者可按学校规定参加重修或重新答辩。</w:t>
      </w:r>
    </w:p>
    <w:p w14:paraId="114EE42C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七、毕业设计（设计报告）答辩与成绩评定</w:t>
      </w:r>
    </w:p>
    <w:p w14:paraId="54384817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479" w:leftChars="228" w:right="0" w:firstLine="0" w:firstLineChars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（一）答辩资格审查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学生须通过指导教师评阅、查重检测（重复率≤25%）及系部抽检，方可获得</w:t>
      </w:r>
    </w:p>
    <w:p w14:paraId="086C557C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答辩资格。</w:t>
      </w:r>
    </w:p>
    <w:p w14:paraId="72E4354B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420" w:leftChars="200" w:right="0" w:firstLine="0" w:firstLineChars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（二）答辩组织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每生答辩时间不少于15分钟，包括陈述与问答环节。答辩过程应记录完整。</w:t>
      </w:r>
    </w:p>
    <w:p w14:paraId="2BF78EF1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420" w:leftChars="200" w:right="0" w:firstLine="0" w:firstLineChars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（三）成绩评定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综合成绩由指导教师评阅成绩（占70%）和答辩成绩（占30%）组成，按优秀、</w:t>
      </w:r>
    </w:p>
    <w:p w14:paraId="24D24982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良好、合格、不合格四级评定。</w:t>
      </w:r>
    </w:p>
    <w:p w14:paraId="5F6B9F68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479" w:leftChars="228" w:right="0" w:firstLine="0" w:firstLineChars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（四）复议机制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学生对答辩成绩有异议，可向系部答辩委员会申请复议。</w:t>
      </w:r>
    </w:p>
    <w:p w14:paraId="0E328B06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left="0" w:right="0" w:firstLine="562" w:firstLineChars="200"/>
        <w:textAlignment w:val="auto"/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八、毕业设计（设计报告）的抽检与归档</w:t>
      </w:r>
    </w:p>
    <w:p w14:paraId="13F30FEF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（一）系部组织答辩前抽检，抽检不合格者不得参加首次答辩。</w:t>
      </w:r>
    </w:p>
    <w:p w14:paraId="714298DD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（二）校级及以上抽检中发现“存在问题毕业论文”的，按学校规定进行处理，包括限期修改、复评、直至撤销学位等。</w:t>
      </w:r>
    </w:p>
    <w:p w14:paraId="351E746E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（三）归档材料包括：开题报告、过程控制表、正文（含过程稿与终稿）、查重报告等。所有材料须规范整理、签字盖章齐全，装入学院统一档案袋。</w:t>
      </w:r>
    </w:p>
    <w:p w14:paraId="6C19D2F4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00" w:lineRule="exact"/>
        <w:ind w:right="0" w:firstLine="480" w:firstLineChars="200"/>
        <w:textAlignment w:val="auto"/>
        <w:rPr>
          <w:rFonts w:hint="eastAsia" w:ascii="宋体" w:hAnsi="宋体" w:eastAsia="宋体"/>
          <w:i w:val="0"/>
          <w:iCs w:val="0"/>
          <w:spacing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（四）毕业设计（设计报告）电子与纸质材料由学校统一保存至少五年。</w:t>
      </w:r>
    </w:p>
    <w:p w14:paraId="09AAEAA5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420" w:leftChars="200" w:right="0" w:firstLine="0" w:firstLineChars="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九 、附则</w:t>
      </w:r>
      <w:r>
        <w:rPr>
          <w:rFonts w:hint="eastAsia" w:ascii="宋体" w:hAnsi="宋体" w:eastAsia="宋体"/>
          <w:i w:val="0"/>
          <w:iCs w:val="0"/>
          <w:color w:val="0F1115"/>
          <w:spacing w:val="0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本规定自发布之日起实施，由传媒与艺术设计系负责解释。以往规定与本规定</w:t>
      </w:r>
    </w:p>
    <w:p w14:paraId="290E9850">
      <w:pPr>
        <w:pStyle w:val="1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/>
        <w:textAlignment w:val="auto"/>
        <w:rPr>
          <w:rStyle w:val="14"/>
          <w:rFonts w:hint="eastAsia" w:ascii="宋体" w:hAnsi="宋体" w:eastAsia="宋体"/>
          <w:b/>
          <w:bCs/>
          <w:i w:val="0"/>
          <w:iCs w:val="0"/>
          <w:color w:val="0F1115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不一致的，以本规定为准。</w:t>
      </w:r>
    </w:p>
    <w:p w14:paraId="488541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/>
          <w:color w:val="333333"/>
          <w:kern w:val="0"/>
          <w:sz w:val="24"/>
          <w:szCs w:val="24"/>
          <w:lang w:eastAsia="zh-CN"/>
        </w:rPr>
      </w:pPr>
    </w:p>
    <w:p w14:paraId="6AAF52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/>
          <w:color w:val="333333"/>
          <w:kern w:val="0"/>
          <w:sz w:val="24"/>
          <w:szCs w:val="24"/>
        </w:rPr>
      </w:pPr>
    </w:p>
    <w:p w14:paraId="5DFF76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/>
          <w:color w:val="333333"/>
          <w:kern w:val="0"/>
          <w:sz w:val="24"/>
          <w:szCs w:val="24"/>
        </w:rPr>
      </w:pPr>
    </w:p>
    <w:p w14:paraId="1407DB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/>
          <w:color w:val="333333"/>
          <w:kern w:val="0"/>
          <w:sz w:val="24"/>
          <w:szCs w:val="24"/>
        </w:rPr>
      </w:pPr>
    </w:p>
    <w:p w14:paraId="3EAC7A7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/>
          <w:color w:val="333333"/>
          <w:kern w:val="0"/>
          <w:sz w:val="24"/>
          <w:szCs w:val="24"/>
        </w:rPr>
      </w:pPr>
    </w:p>
    <w:p w14:paraId="60E4610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/>
          <w:color w:val="333333"/>
          <w:kern w:val="0"/>
          <w:sz w:val="24"/>
          <w:szCs w:val="24"/>
        </w:rPr>
      </w:pPr>
    </w:p>
    <w:sectPr>
      <w:headerReference r:id="rId3" w:type="default"/>
      <w:footerReference r:id="rId4" w:type="default"/>
      <w:pgSz w:w="11907" w:h="16840"/>
      <w:pgMar w:top="1440" w:right="1647" w:bottom="1440" w:left="1701" w:header="851" w:footer="992" w:gutter="0"/>
      <w:cols w:space="720" w:num="1"/>
      <w:docGrid w:type="lines" w:linePitch="326" w:charSpace="-49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EB42E">
    <w:pPr>
      <w:pStyle w:val="10"/>
      <w:tabs>
        <w:tab w:val="clear" w:pos="4153"/>
        <w:tab w:val="clear" w:pos="8306"/>
      </w:tabs>
      <w:rPr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B311B">
    <w:pPr>
      <w:pStyle w:val="11"/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ocumentProtection w:enforcement="0"/>
  <w:defaultTabStop w:val="420"/>
  <w:displayHorizontalDrawingGridEvery w:val="1"/>
  <w:displayVerticalDrawingGridEvery w:val="1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YTEwZDk5MWVhNjgxYWFjMjAyOTgyOWI3MzJjMzUifQ=="/>
  </w:docVars>
  <w:rsids>
    <w:rsidRoot w:val="00000000"/>
    <w:rsid w:val="05E000DB"/>
    <w:rsid w:val="18AC7E17"/>
    <w:rsid w:val="328A09D8"/>
    <w:rsid w:val="386B4E07"/>
    <w:rsid w:val="4A722A32"/>
    <w:rsid w:val="4E906D25"/>
    <w:rsid w:val="631462CC"/>
    <w:rsid w:val="66FD4C10"/>
    <w:rsid w:val="79301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qFormat/>
    <w:uiPriority w:val="0"/>
  </w:style>
  <w:style w:type="paragraph" w:customStyle="1" w:styleId="6">
    <w:name w:val="批注文字1"/>
    <w:basedOn w:val="1"/>
    <w:qFormat/>
    <w:uiPriority w:val="0"/>
    <w:pPr>
      <w:jc w:val="left"/>
    </w:pPr>
  </w:style>
  <w:style w:type="paragraph" w:customStyle="1" w:styleId="7">
    <w:name w:val="纯文本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8">
    <w:name w:val="日期1"/>
    <w:basedOn w:val="1"/>
    <w:qFormat/>
    <w:uiPriority w:val="0"/>
    <w:pPr>
      <w:ind w:left="100" w:leftChars="2500"/>
    </w:pPr>
  </w:style>
  <w:style w:type="paragraph" w:customStyle="1" w:styleId="9">
    <w:name w:val="批注框文本1"/>
    <w:basedOn w:val="1"/>
    <w:semiHidden/>
    <w:qFormat/>
    <w:uiPriority w:val="0"/>
    <w:rPr>
      <w:sz w:val="18"/>
      <w:szCs w:val="18"/>
    </w:r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1">
    <w:name w:val="页眉1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12">
    <w:name w:val="HTML 预设格式1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customStyle="1" w:styleId="13">
    <w:name w:val="普通(网站)1"/>
    <w:basedOn w:val="1"/>
    <w:qFormat/>
    <w:uiPriority w:val="0"/>
    <w:rPr>
      <w:sz w:val="24"/>
    </w:rPr>
  </w:style>
  <w:style w:type="character" w:customStyle="1" w:styleId="14">
    <w:name w:val="要点1"/>
    <w:basedOn w:val="4"/>
    <w:link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1847</Words>
  <Characters>1864</Characters>
  <Lines>0</Lines>
  <Paragraphs>0</Paragraphs>
  <TotalTime>7</TotalTime>
  <ScaleCrop>false</ScaleCrop>
  <LinksUpToDate>false</LinksUpToDate>
  <CharactersWithSpaces>1865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2025-09-29T07:28:00Z</dcterms:created>
  <dc:creator>HP</dc:creator>
  <cp:lastModifiedBy>王露</cp:lastModifiedBy>
  <dcterms:modified xsi:type="dcterms:W3CDTF">2025-10-21T08:13:20Z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77088DD7238C4556BB10CB8A9A025407_13</vt:lpwstr>
  </property>
  <property fmtid="{D5CDD505-2E9C-101B-9397-08002B2CF9AE}" pid="4" name="KSOTemplateDocerSaveRecord">
    <vt:lpwstr>eyJoZGlkIjoiNzQ4NjUxYTE2NWVhZmE2ZGE4YjdmNDdiODBlNzlkNzkiLCJ1c2VySWQiOiIyMDgyNTkzNzIifQ==</vt:lpwstr>
  </property>
</Properties>
</file>